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3460" w:type="dxa"/>
        <w:tblInd w:w="0" w:type="dxa"/>
        <w:tblLayout w:type="autofit"/>
        <w:tblCellMar>
          <w:top w:w="0" w:type="dxa"/>
          <w:left w:w="108" w:type="dxa"/>
          <w:bottom w:w="0" w:type="dxa"/>
          <w:right w:w="108" w:type="dxa"/>
        </w:tblCellMar>
      </w:tblPr>
      <w:tblGrid>
        <w:gridCol w:w="4820"/>
        <w:gridCol w:w="2160"/>
        <w:gridCol w:w="2160"/>
        <w:gridCol w:w="2160"/>
        <w:gridCol w:w="2160"/>
      </w:tblGrid>
      <w:tr>
        <w:tblPrEx>
          <w:tblCellMar>
            <w:top w:w="0" w:type="dxa"/>
            <w:left w:w="108" w:type="dxa"/>
            <w:bottom w:w="0" w:type="dxa"/>
            <w:right w:w="108" w:type="dxa"/>
          </w:tblCellMar>
        </w:tblPrEx>
        <w:trPr>
          <w:trHeight w:val="315" w:hRule="atLeast"/>
        </w:trPr>
        <w:tc>
          <w:tcPr>
            <w:tcW w:w="6980" w:type="dxa"/>
            <w:gridSpan w:val="2"/>
            <w:tcBorders>
              <w:top w:val="nil"/>
              <w:left w:val="nil"/>
              <w:bottom w:val="nil"/>
              <w:right w:val="nil"/>
            </w:tcBorders>
            <w:shd w:val="clear" w:color="auto" w:fill="auto"/>
            <w:noWrap/>
            <w:vAlign w:val="bottom"/>
          </w:tcPr>
          <w:p>
            <w:pPr>
              <w:spacing w:after="0" w:line="240" w:lineRule="auto"/>
              <w:rPr>
                <w:rFonts w:ascii="Calibri" w:hAnsi="Calibri" w:eastAsia="Times New Roman" w:cs="Calibri"/>
                <w:b/>
                <w:bCs/>
                <w:color w:val="000000"/>
                <w:sz w:val="24"/>
                <w:szCs w:val="24"/>
              </w:rPr>
            </w:pPr>
            <w:bookmarkStart w:id="0" w:name="_GoBack"/>
            <w:bookmarkEnd w:id="0"/>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b/>
                <w:bCs/>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xml:space="preserve">Two Parts  Homework -  Please see instructions below. </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Homework 1 </w:t>
            </w: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1399" w:hRule="atLeast"/>
        </w:trPr>
        <w:tc>
          <w:tcPr>
            <w:tcW w:w="13460" w:type="dxa"/>
            <w:gridSpan w:val="5"/>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Using the financial data available on Yahoo! Finance, calculate (1) the business value added, (2) management value added, and (3) return on management for each of the following four health care companies that are part of the S&amp;P 500 companies. Use each companies' most recent full fiscal year. Do not use the TTM (trailing twelve months) data (if available). Assume that the interest rate cost of shareholder capital is 0.10 (10.0%).</w:t>
            </w: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b/>
                <w:bCs/>
                <w:color w:val="000000"/>
                <w:sz w:val="24"/>
                <w:szCs w:val="24"/>
              </w:rPr>
            </w:pPr>
            <w:r>
              <w:rPr>
                <w:rFonts w:ascii="Calibri" w:hAnsi="Calibri" w:eastAsia="Times New Roman" w:cs="Calibri"/>
                <w:b/>
                <w:bCs/>
                <w:color w:val="000000"/>
                <w:sz w:val="24"/>
                <w:szCs w:val="24"/>
              </w:rPr>
              <w:t>Company name</w:t>
            </w: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b/>
                <w:bCs/>
                <w:color w:val="000000"/>
                <w:sz w:val="24"/>
                <w:szCs w:val="24"/>
              </w:rPr>
            </w:pPr>
            <w:r>
              <w:rPr>
                <w:rFonts w:ascii="Calibri" w:hAnsi="Calibri" w:eastAsia="Times New Roman" w:cs="Calibri"/>
                <w:b/>
                <w:bCs/>
                <w:color w:val="000000"/>
                <w:sz w:val="24"/>
                <w:szCs w:val="24"/>
              </w:rPr>
              <w:t>Ticker symbol</w:t>
            </w: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b/>
                <w:bCs/>
                <w:color w:val="000000"/>
                <w:sz w:val="24"/>
                <w:szCs w:val="24"/>
              </w:rPr>
            </w:pPr>
            <w:r>
              <w:rPr>
                <w:rFonts w:ascii="Calibri" w:hAnsi="Calibri" w:eastAsia="Times New Roman" w:cs="Calibri"/>
                <w:b/>
                <w:bCs/>
                <w:color w:val="000000"/>
                <w:sz w:val="24"/>
                <w:szCs w:val="24"/>
              </w:rPr>
              <w:t>Subindustry</w:t>
            </w: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b/>
                <w:bCs/>
                <w:color w:val="000000"/>
                <w:sz w:val="24"/>
                <w:szCs w:val="24"/>
              </w:rPr>
            </w:pP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Cerner Corporation</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CERN</w:t>
            </w:r>
          </w:p>
        </w:tc>
        <w:tc>
          <w:tcPr>
            <w:tcW w:w="4320" w:type="dxa"/>
            <w:gridSpan w:val="2"/>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Health Care Technology</w:t>
            </w: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Gilead Sciences, Inc.</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GILD</w:t>
            </w:r>
          </w:p>
        </w:tc>
        <w:tc>
          <w:tcPr>
            <w:tcW w:w="4320" w:type="dxa"/>
            <w:gridSpan w:val="2"/>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Biotechnology</w:t>
            </w: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Johnson &amp; Johnson</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JNJ</w:t>
            </w:r>
          </w:p>
        </w:tc>
        <w:tc>
          <w:tcPr>
            <w:tcW w:w="4320" w:type="dxa"/>
            <w:gridSpan w:val="2"/>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Pharmaceuticals</w:t>
            </w: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ResMed, Inc.</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RMD</w:t>
            </w:r>
          </w:p>
        </w:tc>
        <w:tc>
          <w:tcPr>
            <w:tcW w:w="4320" w:type="dxa"/>
            <w:gridSpan w:val="2"/>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Health Care Equipment</w:t>
            </w: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rPr>
          <w:trHeight w:val="315" w:hRule="atLeast"/>
        </w:trPr>
        <w:tc>
          <w:tcPr>
            <w:tcW w:w="13460" w:type="dxa"/>
            <w:gridSpan w:val="5"/>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r>
      <w:tr>
        <w:tblPrEx>
          <w:tblCellMar>
            <w:top w:w="0" w:type="dxa"/>
            <w:left w:w="108" w:type="dxa"/>
            <w:bottom w:w="0" w:type="dxa"/>
            <w:right w:w="108" w:type="dxa"/>
          </w:tblCellMar>
        </w:tblPrEx>
        <w:trPr>
          <w:trHeight w:val="315" w:hRule="atLeast"/>
        </w:trPr>
        <w:tc>
          <w:tcPr>
            <w:tcW w:w="13460" w:type="dxa"/>
            <w:gridSpan w:val="5"/>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Arial" w:hAnsi="Arial" w:cs="Arial"/>
                <w:b/>
                <w:bCs/>
                <w:color w:val="3A3A3A"/>
                <w:shd w:val="clear" w:color="auto" w:fill="FFFFFF"/>
              </w:rPr>
              <w:t>Note: To get the 2020Q1 PCEPI, go to FRED, search for PCEPI, and then select EDIT GRAPH:</w:t>
            </w:r>
          </w:p>
          <w:p>
            <w:pPr>
              <w:spacing w:after="0" w:line="240" w:lineRule="auto"/>
              <w:rPr>
                <w:rFonts w:ascii="Calibri" w:hAnsi="Calibri" w:eastAsia="Times New Roman" w:cs="Calibri"/>
                <w:color w:val="000000"/>
                <w:sz w:val="24"/>
                <w:szCs w:val="24"/>
              </w:rPr>
            </w:pP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Ticker symbol</w:t>
            </w: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CERN</w:t>
            </w: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GILD</w:t>
            </w: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JNJ</w:t>
            </w: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RMD</w:t>
            </w: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Business value-added</w:t>
            </w:r>
          </w:p>
        </w:tc>
        <w:tc>
          <w:tcPr>
            <w:tcW w:w="2160" w:type="dxa"/>
            <w:tcBorders>
              <w:top w:val="single" w:color="auto" w:sz="4" w:space="0"/>
              <w:left w:val="single" w:color="auto" w:sz="4" w:space="0"/>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c>
          <w:tcPr>
            <w:tcW w:w="2160" w:type="dxa"/>
            <w:tcBorders>
              <w:top w:val="single" w:color="auto" w:sz="4" w:space="0"/>
              <w:left w:val="nil"/>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c>
          <w:tcPr>
            <w:tcW w:w="2160" w:type="dxa"/>
            <w:tcBorders>
              <w:top w:val="single" w:color="auto" w:sz="4" w:space="0"/>
              <w:left w:val="nil"/>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c>
          <w:tcPr>
            <w:tcW w:w="2160" w:type="dxa"/>
            <w:tcBorders>
              <w:top w:val="single" w:color="auto" w:sz="4" w:space="0"/>
              <w:left w:val="nil"/>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r>
      <w:tr>
        <w:tblPrEx>
          <w:tblCellMar>
            <w:top w:w="0" w:type="dxa"/>
            <w:left w:w="108" w:type="dxa"/>
            <w:bottom w:w="0" w:type="dxa"/>
            <w:right w:w="108" w:type="dxa"/>
          </w:tblCellMar>
        </w:tblPrEx>
        <w:trPr>
          <w:trHeight w:val="315" w:hRule="atLeast"/>
        </w:trPr>
        <w:tc>
          <w:tcPr>
            <w:tcW w:w="48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Management value-added</w:t>
            </w:r>
          </w:p>
        </w:tc>
        <w:tc>
          <w:tcPr>
            <w:tcW w:w="2160" w:type="dxa"/>
            <w:tcBorders>
              <w:top w:val="nil"/>
              <w:left w:val="single" w:color="auto" w:sz="4" w:space="0"/>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c>
          <w:tcPr>
            <w:tcW w:w="2160" w:type="dxa"/>
            <w:tcBorders>
              <w:top w:val="nil"/>
              <w:left w:val="nil"/>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c>
          <w:tcPr>
            <w:tcW w:w="2160" w:type="dxa"/>
            <w:tcBorders>
              <w:top w:val="nil"/>
              <w:left w:val="nil"/>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c>
          <w:tcPr>
            <w:tcW w:w="2160" w:type="dxa"/>
            <w:tcBorders>
              <w:top w:val="nil"/>
              <w:left w:val="nil"/>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r>
      <w:tr>
        <w:tblPrEx>
          <w:tblCellMar>
            <w:top w:w="0" w:type="dxa"/>
            <w:left w:w="108" w:type="dxa"/>
            <w:bottom w:w="0" w:type="dxa"/>
            <w:right w:w="108" w:type="dxa"/>
          </w:tblCellMar>
        </w:tblPrEx>
        <w:trPr>
          <w:trHeight w:val="945" w:hRule="atLeast"/>
        </w:trPr>
        <w:tc>
          <w:tcPr>
            <w:tcW w:w="4820" w:type="dxa"/>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Return on management (enter as a decimal, with 3 decimal places; e.g., 0.364 instead of 36.4%)</w:t>
            </w:r>
          </w:p>
        </w:tc>
        <w:tc>
          <w:tcPr>
            <w:tcW w:w="2160" w:type="dxa"/>
            <w:tcBorders>
              <w:top w:val="nil"/>
              <w:left w:val="single" w:color="auto" w:sz="4" w:space="0"/>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c>
          <w:tcPr>
            <w:tcW w:w="2160" w:type="dxa"/>
            <w:tcBorders>
              <w:top w:val="nil"/>
              <w:left w:val="nil"/>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c>
          <w:tcPr>
            <w:tcW w:w="2160" w:type="dxa"/>
            <w:tcBorders>
              <w:top w:val="nil"/>
              <w:left w:val="nil"/>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c>
          <w:tcPr>
            <w:tcW w:w="2160" w:type="dxa"/>
            <w:tcBorders>
              <w:top w:val="nil"/>
              <w:left w:val="nil"/>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w:t>
            </w:r>
          </w:p>
        </w:tc>
      </w:tr>
    </w:tbl>
    <w:p/>
    <w:p>
      <w:r>
        <w:rPr>
          <w:rFonts w:ascii="Arial" w:hAnsi="Arial" w:cs="Arial"/>
          <w:b/>
          <w:bCs/>
          <w:color w:val="3A3A3A"/>
          <w:shd w:val="clear" w:color="auto" w:fill="FFFFFF"/>
        </w:rPr>
        <w:t>Under Modify frequency, select Quarterly. You can then hit the big X to close that menu. That will give you access to the needed quarterly value. Note, however, that for the current dollars, you will be using the annual PCEPI values.</w:t>
      </w:r>
    </w:p>
    <w:p/>
    <w:p/>
    <w:tbl>
      <w:tblPr>
        <w:tblStyle w:val="3"/>
        <w:tblW w:w="14840" w:type="dxa"/>
        <w:tblInd w:w="0" w:type="dxa"/>
        <w:tblLayout w:type="autofit"/>
        <w:tblCellMar>
          <w:top w:w="0" w:type="dxa"/>
          <w:left w:w="108" w:type="dxa"/>
          <w:bottom w:w="0" w:type="dxa"/>
          <w:right w:w="108" w:type="dxa"/>
        </w:tblCellMar>
      </w:tblPr>
      <w:tblGrid>
        <w:gridCol w:w="1320"/>
        <w:gridCol w:w="4710"/>
        <w:gridCol w:w="2330"/>
        <w:gridCol w:w="2160"/>
        <w:gridCol w:w="2160"/>
        <w:gridCol w:w="2160"/>
      </w:tblGrid>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4"/>
                <w:szCs w:val="24"/>
              </w:rPr>
            </w:pPr>
          </w:p>
        </w:tc>
        <w:tc>
          <w:tcPr>
            <w:tcW w:w="471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3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71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b/>
                <w:bCs/>
                <w:color w:val="000000"/>
                <w:sz w:val="24"/>
                <w:szCs w:val="24"/>
              </w:rPr>
            </w:pPr>
          </w:p>
        </w:tc>
        <w:tc>
          <w:tcPr>
            <w:tcW w:w="233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b/>
                <w:bCs/>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71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xml:space="preserve">Please see below Homework 2 (ignored the gray boxes) </w:t>
            </w:r>
          </w:p>
        </w:tc>
        <w:tc>
          <w:tcPr>
            <w:tcW w:w="233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71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3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4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71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3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70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520" w:type="dxa"/>
            <w:gridSpan w:val="5"/>
            <w:tcBorders>
              <w:top w:val="nil"/>
              <w:left w:val="nil"/>
              <w:bottom w:val="nil"/>
              <w:right w:val="nil"/>
            </w:tcBorders>
            <w:shd w:val="clear" w:color="auto" w:fill="auto"/>
            <w:noWrap/>
            <w:vAlign w:val="bottom"/>
          </w:tcPr>
          <w:p>
            <w:pPr>
              <w:spacing w:after="0" w:line="240" w:lineRule="auto"/>
              <w:rPr>
                <w:rFonts w:ascii="Calibri" w:hAnsi="Calibri" w:eastAsia="Times New Roman" w:cs="Calibri"/>
                <w:b/>
                <w:bCs/>
                <w:color w:val="FF0000"/>
                <w:sz w:val="36"/>
                <w:szCs w:val="36"/>
              </w:rPr>
            </w:pPr>
          </w:p>
        </w:tc>
      </w:tr>
      <w:tr>
        <w:tblPrEx>
          <w:tblCellMar>
            <w:top w:w="0" w:type="dxa"/>
            <w:left w:w="108" w:type="dxa"/>
            <w:bottom w:w="0" w:type="dxa"/>
            <w:right w:w="108" w:type="dxa"/>
          </w:tblCellMar>
        </w:tblPrEx>
        <w:trPr>
          <w:trHeight w:val="1095" w:hRule="atLeast"/>
        </w:trPr>
        <w:tc>
          <w:tcPr>
            <w:tcW w:w="132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b/>
                <w:bCs/>
                <w:color w:val="FF0000"/>
                <w:sz w:val="36"/>
                <w:szCs w:val="36"/>
              </w:rPr>
            </w:pPr>
          </w:p>
        </w:tc>
        <w:tc>
          <w:tcPr>
            <w:tcW w:w="11360" w:type="dxa"/>
            <w:gridSpan w:val="4"/>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71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3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71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330" w:type="dxa"/>
            <w:tcBorders>
              <w:top w:val="single" w:color="auto" w:sz="4" w:space="0"/>
              <w:left w:val="single" w:color="auto" w:sz="4" w:space="0"/>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b/>
                <w:bCs/>
                <w:color w:val="0000FF"/>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71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330" w:type="dxa"/>
            <w:tcBorders>
              <w:top w:val="nil"/>
              <w:left w:val="single" w:color="auto" w:sz="4" w:space="0"/>
              <w:bottom w:val="single" w:color="auto" w:sz="4" w:space="0"/>
              <w:right w:val="single" w:color="auto" w:sz="4" w:space="0"/>
            </w:tcBorders>
            <w:shd w:val="clear" w:color="000000" w:fill="D9D9D9"/>
            <w:noWrap/>
            <w:vAlign w:val="bottom"/>
          </w:tcPr>
          <w:p>
            <w:pPr>
              <w:spacing w:after="0" w:line="240" w:lineRule="auto"/>
              <w:rPr>
                <w:rFonts w:ascii="Calibri" w:hAnsi="Calibri" w:eastAsia="Times New Roman" w:cs="Calibri"/>
                <w:b/>
                <w:bCs/>
                <w:color w:val="0000FF"/>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71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3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1360" w:type="dxa"/>
            <w:gridSpan w:val="4"/>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You are given the following information for a healthcare company:</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line #</w:t>
            </w:r>
          </w:p>
        </w:tc>
        <w:tc>
          <w:tcPr>
            <w:tcW w:w="471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23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1</w:t>
            </w:r>
          </w:p>
        </w:tc>
        <w:tc>
          <w:tcPr>
            <w:tcW w:w="471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Total revenue</w:t>
            </w:r>
          </w:p>
        </w:tc>
        <w:tc>
          <w:tcPr>
            <w:tcW w:w="233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#N/A</w:t>
            </w: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2</w:t>
            </w:r>
          </w:p>
        </w:tc>
        <w:tc>
          <w:tcPr>
            <w:tcW w:w="4710" w:type="dxa"/>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Total non-capital costs</w:t>
            </w:r>
          </w:p>
        </w:tc>
        <w:tc>
          <w:tcPr>
            <w:tcW w:w="233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#N/A</w:t>
            </w: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630"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3</w:t>
            </w:r>
          </w:p>
        </w:tc>
        <w:tc>
          <w:tcPr>
            <w:tcW w:w="4710" w:type="dxa"/>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Capital equipment purchase price and original market value</w:t>
            </w:r>
          </w:p>
        </w:tc>
        <w:tc>
          <w:tcPr>
            <w:tcW w:w="233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#N/A</w:t>
            </w: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630"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4</w:t>
            </w:r>
          </w:p>
        </w:tc>
        <w:tc>
          <w:tcPr>
            <w:tcW w:w="4710" w:type="dxa"/>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Equipment salvage value, as percent of purchase price</w:t>
            </w:r>
          </w:p>
        </w:tc>
        <w:tc>
          <w:tcPr>
            <w:tcW w:w="233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#N/A</w:t>
            </w:r>
          </w:p>
        </w:tc>
        <w:tc>
          <w:tcPr>
            <w:tcW w:w="216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5</w:t>
            </w:r>
          </w:p>
        </w:tc>
        <w:tc>
          <w:tcPr>
            <w:tcW w:w="4710" w:type="dxa"/>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Depreciable life of the capital equipment, years</w:t>
            </w:r>
          </w:p>
        </w:tc>
        <w:tc>
          <w:tcPr>
            <w:tcW w:w="2330" w:type="dxa"/>
            <w:tcBorders>
              <w:top w:val="nil"/>
              <w:left w:val="nil"/>
              <w:bottom w:val="nil"/>
              <w:right w:val="nil"/>
            </w:tcBorders>
            <w:shd w:val="clear" w:color="auto" w:fill="auto"/>
            <w:noWrap/>
            <w:vAlign w:val="bottom"/>
          </w:tcPr>
          <w:p>
            <w:pPr>
              <w:spacing w:after="0" w:line="240" w:lineRule="auto"/>
              <w:jc w:val="right"/>
              <w:rPr>
                <w:rFonts w:ascii="Calibri" w:hAnsi="Calibri" w:eastAsia="Times New Roman" w:cs="Calibri"/>
                <w:color w:val="000000"/>
                <w:sz w:val="24"/>
                <w:szCs w:val="24"/>
              </w:rPr>
            </w:pPr>
            <w:r>
              <w:rPr>
                <w:rFonts w:ascii="Calibri" w:hAnsi="Calibri" w:eastAsia="Times New Roman" w:cs="Calibri"/>
                <w:color w:val="000000"/>
                <w:sz w:val="24"/>
                <w:szCs w:val="24"/>
              </w:rPr>
              <w:t>12</w:t>
            </w:r>
          </w:p>
        </w:tc>
        <w:tc>
          <w:tcPr>
            <w:tcW w:w="2160" w:type="dxa"/>
            <w:tcBorders>
              <w:top w:val="nil"/>
              <w:left w:val="nil"/>
              <w:bottom w:val="nil"/>
              <w:right w:val="nil"/>
            </w:tcBorders>
            <w:shd w:val="clear" w:color="auto" w:fill="auto"/>
            <w:noWrap/>
            <w:vAlign w:val="bottom"/>
          </w:tcPr>
          <w:p>
            <w:pPr>
              <w:spacing w:after="0" w:line="240" w:lineRule="auto"/>
              <w:jc w:val="right"/>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630"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6</w:t>
            </w:r>
          </w:p>
        </w:tc>
        <w:tc>
          <w:tcPr>
            <w:tcW w:w="4710" w:type="dxa"/>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Annual return on capital invested in a similarly risky investment</w:t>
            </w:r>
          </w:p>
        </w:tc>
        <w:tc>
          <w:tcPr>
            <w:tcW w:w="2330" w:type="dxa"/>
            <w:tcBorders>
              <w:top w:val="nil"/>
              <w:left w:val="nil"/>
              <w:bottom w:val="nil"/>
              <w:right w:val="nil"/>
            </w:tcBorders>
            <w:shd w:val="clear" w:color="auto" w:fill="auto"/>
            <w:noWrap/>
            <w:vAlign w:val="bottom"/>
          </w:tcPr>
          <w:p>
            <w:pPr>
              <w:spacing w:after="0" w:line="240" w:lineRule="auto"/>
              <w:jc w:val="right"/>
              <w:rPr>
                <w:rFonts w:ascii="Calibri" w:hAnsi="Calibri" w:eastAsia="Times New Roman" w:cs="Calibri"/>
                <w:color w:val="000000"/>
                <w:sz w:val="24"/>
                <w:szCs w:val="24"/>
              </w:rPr>
            </w:pPr>
            <w:r>
              <w:rPr>
                <w:rFonts w:ascii="Calibri" w:hAnsi="Calibri" w:eastAsia="Times New Roman" w:cs="Calibri"/>
                <w:color w:val="000000"/>
                <w:sz w:val="24"/>
                <w:szCs w:val="24"/>
              </w:rPr>
              <w:t>8%</w:t>
            </w:r>
          </w:p>
        </w:tc>
        <w:tc>
          <w:tcPr>
            <w:tcW w:w="2160" w:type="dxa"/>
            <w:tcBorders>
              <w:top w:val="nil"/>
              <w:left w:val="nil"/>
              <w:bottom w:val="nil"/>
              <w:right w:val="nil"/>
            </w:tcBorders>
            <w:shd w:val="clear" w:color="auto" w:fill="auto"/>
            <w:noWrap/>
            <w:vAlign w:val="bottom"/>
          </w:tcPr>
          <w:p>
            <w:pPr>
              <w:spacing w:after="0" w:line="240" w:lineRule="auto"/>
              <w:jc w:val="right"/>
              <w:rPr>
                <w:rFonts w:ascii="Calibri" w:hAnsi="Calibri" w:eastAsia="Times New Roman" w:cs="Calibri"/>
                <w:color w:val="000000"/>
                <w:sz w:val="24"/>
                <w:szCs w:val="24"/>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71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rPr>
            </w:pPr>
          </w:p>
        </w:tc>
        <w:tc>
          <w:tcPr>
            <w:tcW w:w="23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1080"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7</w:t>
            </w:r>
          </w:p>
        </w:tc>
        <w:tc>
          <w:tcPr>
            <w:tcW w:w="11360" w:type="dxa"/>
            <w:gridSpan w:val="4"/>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1. Assuming that the tax laws require accountants to use a 10-year straight-line depreciation of the original purchase price net of the salvage value (e.g., a $10,000 piece of equipment with a salvage value of $1,000 would have annual depreciation of ($10,000 - $1,000)/10 = $900), calculate the annual accounting profits.</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710" w:type="dxa"/>
            <w:tcBorders>
              <w:top w:val="nil"/>
              <w:left w:val="nil"/>
              <w:bottom w:val="nil"/>
              <w:right w:val="nil"/>
            </w:tcBorders>
            <w:shd w:val="clear" w:color="auto" w:fill="auto"/>
            <w:noWrap/>
            <w:vAlign w:val="bottom"/>
          </w:tcPr>
          <w:p>
            <w:pPr>
              <w:spacing w:after="0" w:line="240" w:lineRule="auto"/>
              <w:jc w:val="center"/>
              <w:rPr>
                <w:rFonts w:ascii="Times New Roman" w:hAnsi="Times New Roman" w:eastAsia="Times New Roman" w:cs="Times New Roman"/>
                <w:sz w:val="20"/>
                <w:szCs w:val="20"/>
              </w:rPr>
            </w:pPr>
          </w:p>
        </w:tc>
        <w:tc>
          <w:tcPr>
            <w:tcW w:w="23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720" w:hRule="atLeast"/>
        </w:trPr>
        <w:tc>
          <w:tcPr>
            <w:tcW w:w="1320" w:type="dxa"/>
            <w:tcBorders>
              <w:top w:val="nil"/>
              <w:left w:val="nil"/>
              <w:bottom w:val="nil"/>
              <w:right w:val="nil"/>
            </w:tcBorders>
            <w:shd w:val="clear" w:color="auto" w:fill="auto"/>
            <w:noWrap/>
            <w:vAlign w:val="bottom"/>
          </w:tcPr>
          <w:p>
            <w:pPr>
              <w:spacing w:after="0" w:line="240" w:lineRule="auto"/>
              <w:jc w:val="center"/>
              <w:rPr>
                <w:rFonts w:ascii="Calibri" w:hAnsi="Calibri" w:eastAsia="Times New Roman" w:cs="Calibri"/>
                <w:color w:val="000000"/>
                <w:sz w:val="24"/>
                <w:szCs w:val="24"/>
              </w:rPr>
            </w:pPr>
            <w:r>
              <w:rPr>
                <w:rFonts w:ascii="Calibri" w:hAnsi="Calibri" w:eastAsia="Times New Roman" w:cs="Calibri"/>
                <w:color w:val="000000"/>
                <w:sz w:val="24"/>
                <w:szCs w:val="24"/>
              </w:rPr>
              <w:t>8</w:t>
            </w:r>
          </w:p>
        </w:tc>
        <w:tc>
          <w:tcPr>
            <w:tcW w:w="11360" w:type="dxa"/>
            <w:gridSpan w:val="4"/>
            <w:tcBorders>
              <w:top w:val="nil"/>
              <w:left w:val="nil"/>
              <w:bottom w:val="nil"/>
              <w:right w:val="nil"/>
            </w:tcBorders>
            <w:shd w:val="clear" w:color="auto" w:fill="auto"/>
            <w:vAlign w:val="bottom"/>
          </w:tcPr>
          <w:p>
            <w:pPr>
              <w:spacing w:after="0" w:line="240" w:lineRule="auto"/>
              <w:rPr>
                <w:rFonts w:ascii="Calibri" w:hAnsi="Calibri" w:eastAsia="Times New Roman" w:cs="Calibri"/>
                <w:color w:val="000000"/>
                <w:sz w:val="24"/>
                <w:szCs w:val="24"/>
              </w:rPr>
            </w:pPr>
            <w:r>
              <w:rPr>
                <w:rFonts w:ascii="Calibri" w:hAnsi="Calibri" w:eastAsia="Times New Roman" w:cs="Calibri"/>
                <w:color w:val="000000"/>
                <w:sz w:val="24"/>
                <w:szCs w:val="24"/>
              </w:rPr>
              <w:t xml:space="preserve">2. Calculate the economic profits using the average annual opportunity cost of the capital. </w:t>
            </w:r>
          </w:p>
        </w:tc>
        <w:tc>
          <w:tcPr>
            <w:tcW w:w="2160" w:type="dxa"/>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471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33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216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r>
      <w:tr>
        <w:tblPrEx>
          <w:tblCellMar>
            <w:top w:w="0" w:type="dxa"/>
            <w:left w:w="108" w:type="dxa"/>
            <w:bottom w:w="0" w:type="dxa"/>
            <w:right w:w="108" w:type="dxa"/>
          </w:tblCellMar>
        </w:tblPrEx>
        <w:trPr>
          <w:trHeight w:val="315" w:hRule="atLeast"/>
        </w:trPr>
        <w:tc>
          <w:tcPr>
            <w:tcW w:w="1320" w:type="dxa"/>
            <w:tcBorders>
              <w:top w:val="nil"/>
              <w:left w:val="nil"/>
              <w:bottom w:val="nil"/>
              <w:right w:val="nil"/>
            </w:tcBorders>
            <w:shd w:val="clear" w:color="auto" w:fill="auto"/>
            <w:noWrap/>
            <w:vAlign w:val="bottom"/>
          </w:tcPr>
          <w:p>
            <w:pPr>
              <w:spacing w:after="0" w:line="240" w:lineRule="auto"/>
              <w:rPr>
                <w:rFonts w:ascii="Times New Roman" w:hAnsi="Times New Roman" w:eastAsia="Times New Roman" w:cs="Times New Roman"/>
                <w:sz w:val="20"/>
                <w:szCs w:val="20"/>
              </w:rPr>
            </w:pPr>
          </w:p>
        </w:tc>
        <w:tc>
          <w:tcPr>
            <w:tcW w:w="13520" w:type="dxa"/>
            <w:gridSpan w:val="5"/>
            <w:tcBorders>
              <w:top w:val="nil"/>
              <w:left w:val="nil"/>
              <w:bottom w:val="nil"/>
              <w:right w:val="nil"/>
            </w:tcBorders>
            <w:shd w:val="clear" w:color="auto" w:fill="auto"/>
            <w:noWrap/>
            <w:vAlign w:val="bottom"/>
          </w:tcPr>
          <w:p>
            <w:pPr>
              <w:spacing w:after="0" w:line="240" w:lineRule="auto"/>
              <w:rPr>
                <w:rFonts w:ascii="Calibri" w:hAnsi="Calibri" w:eastAsia="Times New Roman" w:cs="Calibri"/>
                <w:color w:val="000000"/>
                <w:sz w:val="24"/>
                <w:szCs w:val="24"/>
              </w:rPr>
            </w:pPr>
          </w:p>
        </w:tc>
      </w:tr>
    </w:tbl>
    <w:p/>
    <w:sectPr>
      <w:pgSz w:w="15840" w:h="12240" w:orient="landscape"/>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254"/>
    <w:rsid w:val="002C42FE"/>
    <w:rsid w:val="002D5A27"/>
    <w:rsid w:val="002F1254"/>
    <w:rsid w:val="003419D2"/>
    <w:rsid w:val="0057776E"/>
    <w:rsid w:val="006B1898"/>
    <w:rsid w:val="006E0DAB"/>
    <w:rsid w:val="00884D30"/>
    <w:rsid w:val="00932590"/>
    <w:rsid w:val="00A2763B"/>
    <w:rsid w:val="00A82E27"/>
    <w:rsid w:val="00E51F7E"/>
    <w:rsid w:val="00FC4C07"/>
    <w:rsid w:val="08680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iPriority="99"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4.xml"/><Relationship Id="rId6" Type="http://schemas.openxmlformats.org/officeDocument/2006/relationships/customXml" Target="../customXml/item3.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89FE4563437745BDFD2E6BF0BE1C15" ma:contentTypeVersion="13" ma:contentTypeDescription="Create a new document." ma:contentTypeScope="" ma:versionID="1e18bbbe2574445dac87ff872c549b98">
  <xsd:schema xmlns:xsd="http://www.w3.org/2001/XMLSchema" xmlns:xs="http://www.w3.org/2001/XMLSchema" xmlns:p="http://schemas.microsoft.com/office/2006/metadata/properties" xmlns:ns3="f0935e36-6073-4227-bbd5-573ade2f8635" xmlns:ns4="dfe69f80-35d6-4171-9fd5-3b77d24ce086" targetNamespace="http://schemas.microsoft.com/office/2006/metadata/properties" ma:root="true" ma:fieldsID="d3ada62a9ec181da91e04e713dadbb5e" ns3:_="" ns4:_="">
    <xsd:import namespace="f0935e36-6073-4227-bbd5-573ade2f8635"/>
    <xsd:import namespace="dfe69f80-35d6-4171-9fd5-3b77d24ce08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Location" minOccurs="0"/>
                <xsd:element ref="ns4:MediaServiceGenerationTime" minOccurs="0"/>
                <xsd:element ref="ns4:MediaServiceEventHashCode"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35e36-6073-4227-bbd5-573ade2f863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e69f80-35d6-4171-9fd5-3b77d24ce0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054970-1576-4E44-9D55-AC1FA693E74A}">
  <ds:schemaRefs/>
</ds:datastoreItem>
</file>

<file path=customXml/itemProps3.xml><?xml version="1.0" encoding="utf-8"?>
<ds:datastoreItem xmlns:ds="http://schemas.openxmlformats.org/officeDocument/2006/customXml" ds:itemID="{CD1EE8EC-15E2-4C82-8908-7B68AEF1A0A5}">
  <ds:schemaRefs/>
</ds:datastoreItem>
</file>

<file path=customXml/itemProps4.xml><?xml version="1.0" encoding="utf-8"?>
<ds:datastoreItem xmlns:ds="http://schemas.openxmlformats.org/officeDocument/2006/customXml" ds:itemID="{C453FAB0-8FC7-49AD-99AF-86B87883A2F8}">
  <ds:schemaRefs/>
</ds:datastoreItem>
</file>

<file path=docProps/app.xml><?xml version="1.0" encoding="utf-8"?>
<Properties xmlns="http://schemas.openxmlformats.org/officeDocument/2006/extended-properties" xmlns:vt="http://schemas.openxmlformats.org/officeDocument/2006/docPropsVTypes">
  <Template>Normal</Template>
  <Pages>3</Pages>
  <Words>338</Words>
  <Characters>1929</Characters>
  <Lines>16</Lines>
  <Paragraphs>4</Paragraphs>
  <TotalTime>8</TotalTime>
  <ScaleCrop>false</ScaleCrop>
  <LinksUpToDate>false</LinksUpToDate>
  <CharactersWithSpaces>2263</CharactersWithSpaces>
  <Application>WPS Office_11.2.0.9327_F1E327BC-269C-435d-A152-05C5408002CA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2020-05-18T13:54:00Z</dcterms:created>
  <dc:creator>Jaime Mejias</dc:creator>
  <cp:lastModifiedBy>kanto</cp:lastModifiedBy>
  <dcterms:modified xsi:type="dcterms:W3CDTF">2020-05-18T16:36:11Z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0x010100E289FE4563437745BDFD2E6BF0BE1C15</vt:lpwstr>
  </property>
  <property fmtid="{D5CDD505-2E9C-101B-9397-08002B2CF9AE}" pid="3" name="KSOProductBuildVer">
    <vt:lpwstr>1033-11.2.0.9327</vt:lpwstr>
  </property>
</Properties>
</file>